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3" w:type="dxa"/>
        <w:tblInd w:w="-176" w:type="dxa"/>
        <w:tblLook w:val="04A0" w:firstRow="1" w:lastRow="0" w:firstColumn="1" w:lastColumn="0" w:noHBand="0" w:noVBand="1"/>
      </w:tblPr>
      <w:tblGrid>
        <w:gridCol w:w="708"/>
        <w:gridCol w:w="7373"/>
        <w:gridCol w:w="931"/>
        <w:gridCol w:w="2613"/>
        <w:gridCol w:w="2472"/>
        <w:gridCol w:w="6"/>
      </w:tblGrid>
      <w:tr w:rsidR="00861D1F" w:rsidRPr="00861D1F" w14:paraId="560E5CB8" w14:textId="77777777" w:rsidTr="00861D1F">
        <w:trPr>
          <w:gridAfter w:val="1"/>
          <w:wAfter w:w="6" w:type="dxa"/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EA46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5A04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Nội</w:t>
            </w:r>
            <w:proofErr w:type="spellEnd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3C72" w14:textId="47052059" w:rsidR="00861D1F" w:rsidRPr="00861D1F" w:rsidRDefault="00861D1F" w:rsidP="00861D1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B7F5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03FB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hiện</w:t>
            </w:r>
            <w:proofErr w:type="spellEnd"/>
          </w:p>
        </w:tc>
      </w:tr>
      <w:tr w:rsidR="00861D1F" w:rsidRPr="00861D1F" w14:paraId="499A5187" w14:textId="77777777" w:rsidTr="00861D1F">
        <w:trPr>
          <w:trHeight w:val="330"/>
        </w:trPr>
        <w:tc>
          <w:tcPr>
            <w:tcW w:w="14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07E2F4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Giai </w:t>
            </w: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đoạn</w:t>
            </w:r>
            <w:proofErr w:type="spellEnd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2025</w:t>
            </w:r>
          </w:p>
        </w:tc>
      </w:tr>
      <w:tr w:rsidR="00861D1F" w:rsidRPr="00861D1F" w14:paraId="06AF9C64" w14:textId="77777777" w:rsidTr="00861D1F">
        <w:trPr>
          <w:gridAfter w:val="1"/>
          <w:wAfter w:w="6" w:type="dxa"/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8C4C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870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trương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thuê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vấn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lập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án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bàn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0896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294E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UBND Thành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VHTT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3B66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2023 - 2030</w:t>
            </w:r>
          </w:p>
        </w:tc>
      </w:tr>
      <w:tr w:rsidR="00861D1F" w:rsidRPr="00861D1F" w14:paraId="6376A995" w14:textId="77777777" w:rsidTr="00861D1F">
        <w:trPr>
          <w:gridAfter w:val="1"/>
          <w:wAfter w:w="6" w:type="dxa"/>
          <w:trHeight w:val="39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54C3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8BAA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khảo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sát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điểm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tuyến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bàn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>.</w:t>
            </w:r>
            <w:r w:rsidRPr="00861D1F">
              <w:rPr>
                <w:rFonts w:eastAsia="Times New Roman"/>
                <w:color w:val="000000"/>
                <w:sz w:val="26"/>
                <w:szCs w:val="26"/>
              </w:rPr>
              <w:br/>
              <w:t xml:space="preserve">- Hoàn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tuyến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Văn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vận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quả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điểm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nhấn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tại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bồn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hoặc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tâm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mô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hình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biểu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tượng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kích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cỡ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lớn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chủ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đề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trang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trí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ấn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tượng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hệ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thống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đài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phun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nước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đặc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sắc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trí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lại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đèn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ứng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ánh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theo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sự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hài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hòa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nhưng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vẫn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bắt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mắt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khách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Hỗ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trợ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phục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hướng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việc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tuyến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Hòa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D5E5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8390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UBND Thành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VHTT,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0F31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2023 - 2024</w:t>
            </w:r>
          </w:p>
        </w:tc>
      </w:tr>
      <w:tr w:rsidR="00861D1F" w:rsidRPr="00861D1F" w14:paraId="1948BA3D" w14:textId="77777777" w:rsidTr="00861D1F">
        <w:trPr>
          <w:gridAfter w:val="1"/>
          <w:wAfter w:w="6" w:type="dxa"/>
          <w:trHeight w:val="29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B0B7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326B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chỉnh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trang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nâng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sửa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chữa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nâng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huy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cộng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phục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cộng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cải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thiện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cảnh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vực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điểm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nhấn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Hòa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Nâng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đèn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sự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nổi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bật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giữa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xây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dựng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mô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kiến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trúc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tráng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hút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sự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chú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khách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4030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3B18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UBND Thành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VHTT,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D066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2023 - 2024</w:t>
            </w:r>
          </w:p>
        </w:tc>
      </w:tr>
      <w:tr w:rsidR="00861D1F" w:rsidRPr="00861D1F" w14:paraId="40311FBF" w14:textId="77777777" w:rsidTr="00861D1F">
        <w:trPr>
          <w:gridAfter w:val="1"/>
          <w:wAfter w:w="6" w:type="dxa"/>
          <w:trHeight w:val="19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8031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9CF7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Tăng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cường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quảng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bá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giới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thiệu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rộng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rãi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gây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sự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tò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mò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khách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nét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ẩm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độc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đáo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tại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Hòa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nền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tảng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mạng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xã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hội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báo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chí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trang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thông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điện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tử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món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đặc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Gỏi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bưởi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Tân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Triều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chả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lụi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lẩu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tôm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55F2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F0D1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VHTT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5BD8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Xây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dựng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năm</w:t>
            </w:r>
            <w:proofErr w:type="spellEnd"/>
          </w:p>
        </w:tc>
      </w:tr>
      <w:tr w:rsidR="00861D1F" w:rsidRPr="00861D1F" w14:paraId="1FD1DD69" w14:textId="77777777" w:rsidTr="00861D1F">
        <w:trPr>
          <w:gridAfter w:val="1"/>
          <w:wAfter w:w="6" w:type="dxa"/>
          <w:trHeight w:val="2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B7A8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76A1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Ưu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nâng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trùng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tôn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hỗ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trợ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đưa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tuyến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điểm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tham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tâm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linh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hợp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giới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thiệu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di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nhằm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huy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hơn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nữa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giá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những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di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tích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bàn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Hòa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: Văn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miếu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đình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Tân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Lân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đền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thờ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Cảnh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chùa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chùa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Thành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Hòa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tàng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Nai…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ED15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1C5E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VHTT,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FE8B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Xây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dựng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năm</w:t>
            </w:r>
            <w:proofErr w:type="spellEnd"/>
          </w:p>
        </w:tc>
      </w:tr>
      <w:tr w:rsidR="00861D1F" w:rsidRPr="00861D1F" w14:paraId="1449C91C" w14:textId="77777777" w:rsidTr="00861D1F">
        <w:trPr>
          <w:gridAfter w:val="1"/>
          <w:wAfter w:w="6" w:type="dxa"/>
          <w:trHeight w:val="26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C07D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4FDA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Xây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dựng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tour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kết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nối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sư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̣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kiện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̃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hội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di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tích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lịch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>.</w:t>
            </w:r>
            <w:r w:rsidRPr="00861D1F">
              <w:rPr>
                <w:rFonts w:eastAsia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Tiếp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tục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nâng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quả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tác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thuyết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minh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quảng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bá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di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bằng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nghê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̣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mới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́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điểm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ở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một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sô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́ di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tích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̀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lao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Tân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Hiệp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đền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thờ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cảnh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cô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̉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Hòa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…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ứng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dụng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thuyết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minh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̣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gồm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nhiều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ngôn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ngư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̃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khác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nhau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533B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F425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sv-SE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  <w:lang w:val="sv-SE"/>
              </w:rPr>
              <w:t>Phòng VHTT, Trung tâm Xúc tiến Du lịch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1711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2023 - 2024</w:t>
            </w:r>
          </w:p>
        </w:tc>
      </w:tr>
      <w:tr w:rsidR="00861D1F" w:rsidRPr="00861D1F" w14:paraId="7AFB8284" w14:textId="77777777" w:rsidTr="00861D1F">
        <w:trPr>
          <w:gridAfter w:val="1"/>
          <w:wAfter w:w="6" w:type="dxa"/>
          <w:trHeight w:val="3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FA28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B935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trí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sách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điểm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tâm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chúng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thuận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lợi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hoài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sách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đẹp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nhiều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cây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xanh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bóng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mát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làm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sách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...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Vận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thể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nhất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kỹ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thuật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thuật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sách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hợp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F6A8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3AB0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UBND Thành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VHTT,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397E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2024 - 2025</w:t>
            </w:r>
          </w:p>
        </w:tc>
      </w:tr>
      <w:tr w:rsidR="00861D1F" w:rsidRPr="00861D1F" w14:paraId="173E59AD" w14:textId="77777777" w:rsidTr="00861D1F">
        <w:trPr>
          <w:gridAfter w:val="1"/>
          <w:wAfter w:w="6" w:type="dxa"/>
          <w:trHeight w:val="2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09F3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7CD5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mềm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minh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dựa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nền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tảng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giúp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sự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tương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chặt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chẽ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giữa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khách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nhằm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nâng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chất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phục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khách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giúp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việc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bàn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AAC8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855B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VHTT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F7EE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Xây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dựng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năm</w:t>
            </w:r>
            <w:proofErr w:type="spellEnd"/>
          </w:p>
        </w:tc>
      </w:tr>
      <w:tr w:rsidR="00861D1F" w:rsidRPr="00861D1F" w14:paraId="4845400A" w14:textId="77777777" w:rsidTr="00861D1F">
        <w:trPr>
          <w:gridAfter w:val="1"/>
          <w:wAfter w:w="6" w:type="dxa"/>
          <w:trHeight w:val="26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1132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92B7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quảng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bá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rộng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rãi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hơn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một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sô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́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̃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hội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gắn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liền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giới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thiệu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ảnh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con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Hòa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khách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ngoài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lễ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chùa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lễ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Làm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Chay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Miếu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Sư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Bửu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Long)...</w:t>
            </w:r>
            <w:proofErr w:type="gram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hợp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tâm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linh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thành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sư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̣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kiện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phục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vụ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giao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lịch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515F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69A7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sv-SE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  <w:lang w:val="sv-SE"/>
              </w:rPr>
              <w:t>Phòng VHTT, Trung tâm Xúc tiến Du lịch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F1BA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2024 - 2025</w:t>
            </w:r>
          </w:p>
        </w:tc>
      </w:tr>
      <w:tr w:rsidR="00861D1F" w:rsidRPr="00861D1F" w14:paraId="66756B5E" w14:textId="77777777" w:rsidTr="00861D1F">
        <w:trPr>
          <w:gridAfter w:val="1"/>
          <w:wAfter w:w="6" w:type="dxa"/>
          <w:trHeight w:val="19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A6D0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319C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Phục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hồi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lễ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Đua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thuyền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biểu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diễn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lân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sư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rồng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Nai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trở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lễ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đặc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tái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hiện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những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nét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mà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còn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mang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sâu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sắc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thể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tinh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thần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thể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thao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mỗi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dịp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đầu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Xuân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tại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bàn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026B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870F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VHTT,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092B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2024 - 2025</w:t>
            </w:r>
          </w:p>
        </w:tc>
      </w:tr>
      <w:tr w:rsidR="00861D1F" w:rsidRPr="00861D1F" w14:paraId="3922E134" w14:textId="77777777" w:rsidTr="00861D1F">
        <w:trPr>
          <w:gridAfter w:val="1"/>
          <w:wAfter w:w="6" w:type="dxa"/>
          <w:trHeight w:val="3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F08E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57A4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Tiếp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tục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xây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dựng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hoạch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Tour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ngắn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mang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đặc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trưng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đảm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hợp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đầy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đủ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loại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bàn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: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Sơn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Tiên, Thành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Kèn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Văn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miếu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làng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nghề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làm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Gốm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Văn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....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đối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tượng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lao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thuộc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bàn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nhằm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khuyến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khích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tại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2989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4975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VHTT, Trung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tâm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Xúc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DB6E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2024 - 2025</w:t>
            </w:r>
          </w:p>
        </w:tc>
      </w:tr>
      <w:tr w:rsidR="00861D1F" w:rsidRPr="00861D1F" w14:paraId="40BEE8DA" w14:textId="77777777" w:rsidTr="00861D1F">
        <w:trPr>
          <w:gridAfter w:val="1"/>
          <w:wAfter w:w="6" w:type="dxa"/>
          <w:trHeight w:val="26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645B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B013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đầu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xây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dựng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cấu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hạ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tầng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vật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chất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kỹ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thuật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bãi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đỗ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xe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phương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tiện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trung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chuyển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nhà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vệ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sinh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đạt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chuẩn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điện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nước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mạng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viễn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thông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trạm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dừng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nghỉ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chân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phục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khách</w:t>
            </w:r>
            <w:proofErr w:type="spellEnd"/>
            <w:r w:rsidRPr="00861D1F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)</w:t>
            </w: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quả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tiềm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phẩm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mới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hấp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dẫn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nhằm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hút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khách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D1DF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3359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UBND Thành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C747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Xây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dựng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năm</w:t>
            </w:r>
            <w:proofErr w:type="spellEnd"/>
          </w:p>
        </w:tc>
      </w:tr>
      <w:tr w:rsidR="00861D1F" w:rsidRPr="00861D1F" w14:paraId="15C952C3" w14:textId="77777777" w:rsidTr="00861D1F">
        <w:trPr>
          <w:gridAfter w:val="1"/>
          <w:wAfter w:w="6" w:type="dxa"/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C8E9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8B0F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Tiếp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tục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thường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xuyên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lớp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bồi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dưỡng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kỹ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6E08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E97E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UBND Thành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VHTT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76A3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Xây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dựng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năm</w:t>
            </w:r>
            <w:proofErr w:type="spellEnd"/>
          </w:p>
        </w:tc>
      </w:tr>
      <w:tr w:rsidR="00861D1F" w:rsidRPr="00861D1F" w14:paraId="205B2C0B" w14:textId="77777777" w:rsidTr="00861D1F">
        <w:trPr>
          <w:trHeight w:val="330"/>
        </w:trPr>
        <w:tc>
          <w:tcPr>
            <w:tcW w:w="14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78CCF1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Giai </w:t>
            </w: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đoạn</w:t>
            </w:r>
            <w:proofErr w:type="spellEnd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từ</w:t>
            </w:r>
            <w:proofErr w:type="spellEnd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861D1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2026 - 2030</w:t>
            </w:r>
          </w:p>
        </w:tc>
      </w:tr>
      <w:tr w:rsidR="00861D1F" w:rsidRPr="00861D1F" w14:paraId="45181FD4" w14:textId="77777777" w:rsidTr="00861D1F">
        <w:trPr>
          <w:gridAfter w:val="1"/>
          <w:wAfter w:w="6" w:type="dxa"/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6A73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B06C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Tiếp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tục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trì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nâng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quả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tiêu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nhiệm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giai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đoạn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2022 - 2025.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CF44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27BD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54CD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2026 - 2030</w:t>
            </w:r>
          </w:p>
        </w:tc>
      </w:tr>
      <w:tr w:rsidR="00861D1F" w:rsidRPr="00861D1F" w14:paraId="642989BF" w14:textId="77777777" w:rsidTr="00861D1F">
        <w:trPr>
          <w:gridAfter w:val="1"/>
          <w:wAfter w:w="6" w:type="dxa"/>
          <w:trHeight w:val="19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DC4F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A9CD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điều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kiện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mời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gọi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tham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gia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đầu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vào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dự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án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theo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quy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hoạch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gồm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Dự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án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Sông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Điểm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Lâm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Hòa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khu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Bửu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Long...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F4EA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DDF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UBND Thành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8E2F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2026 - 2028</w:t>
            </w:r>
          </w:p>
        </w:tc>
      </w:tr>
      <w:tr w:rsidR="00861D1F" w:rsidRPr="00861D1F" w14:paraId="2D5CC7AE" w14:textId="77777777" w:rsidTr="00861D1F">
        <w:trPr>
          <w:gridAfter w:val="1"/>
          <w:wAfter w:w="6" w:type="dxa"/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5B13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B6F4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`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7A52" w14:textId="77777777" w:rsidR="00861D1F" w:rsidRPr="00861D1F" w:rsidRDefault="00861D1F" w:rsidP="00861D1F">
            <w:pPr>
              <w:spacing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0CB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UBND Thành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D1F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61D1F">
              <w:rPr>
                <w:rFonts w:eastAsia="Times New Roman"/>
                <w:color w:val="000000"/>
                <w:sz w:val="26"/>
                <w:szCs w:val="26"/>
              </w:rPr>
              <w:t xml:space="preserve"> VHTT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571E" w14:textId="77777777" w:rsidR="00861D1F" w:rsidRPr="00861D1F" w:rsidRDefault="00861D1F" w:rsidP="00861D1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61D1F">
              <w:rPr>
                <w:rFonts w:eastAsia="Times New Roman"/>
                <w:color w:val="000000"/>
                <w:sz w:val="26"/>
                <w:szCs w:val="26"/>
              </w:rPr>
              <w:t>2028 - 2030</w:t>
            </w:r>
          </w:p>
        </w:tc>
      </w:tr>
    </w:tbl>
    <w:p w14:paraId="297B2FAA" w14:textId="77777777" w:rsidR="00EA3682" w:rsidRDefault="00EA3682"/>
    <w:sectPr w:rsidR="00EA3682" w:rsidSect="00861D1F">
      <w:pgSz w:w="15840" w:h="12240" w:orient="landscape"/>
      <w:pgMar w:top="709" w:right="1440" w:bottom="567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1F"/>
    <w:rsid w:val="005046AC"/>
    <w:rsid w:val="00504C4C"/>
    <w:rsid w:val="005672D0"/>
    <w:rsid w:val="00861D1F"/>
    <w:rsid w:val="00934C74"/>
    <w:rsid w:val="00947726"/>
    <w:rsid w:val="009E1D5C"/>
    <w:rsid w:val="00A9466E"/>
    <w:rsid w:val="00B727E8"/>
    <w:rsid w:val="00CF3175"/>
    <w:rsid w:val="00E776C8"/>
    <w:rsid w:val="00EA3682"/>
    <w:rsid w:val="00E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C4DD"/>
  <w15:chartTrackingRefBased/>
  <w15:docId w15:val="{F6C532CF-2186-4CFF-A845-146FB986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QY5UZ4ZQWDMN-2102554853-6540</_dlc_DocId>
    <_dlc_DocIdUrl xmlns="df6cab6d-25a5-4a45-89de-f19c5af208b6">
      <Url>http://10.174.253.232:8834/_layouts/15/DocIdRedir.aspx?ID=QY5UZ4ZQWDMN-2102554853-6540</Url>
      <Description>QY5UZ4ZQWDMN-2102554853-6540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1C5AE6-9C34-45CD-9D69-5F52489CE81B}"/>
</file>

<file path=customXml/itemProps2.xml><?xml version="1.0" encoding="utf-8"?>
<ds:datastoreItem xmlns:ds="http://schemas.openxmlformats.org/officeDocument/2006/customXml" ds:itemID="{24A02434-4A63-48F1-A0A7-E761455684AB}"/>
</file>

<file path=customXml/itemProps3.xml><?xml version="1.0" encoding="utf-8"?>
<ds:datastoreItem xmlns:ds="http://schemas.openxmlformats.org/officeDocument/2006/customXml" ds:itemID="{7FDAC3F0-C3E0-4B31-A75F-94A8E4AE77EE}"/>
</file>

<file path=customXml/itemProps4.xml><?xml version="1.0" encoding="utf-8"?>
<ds:datastoreItem xmlns:ds="http://schemas.openxmlformats.org/officeDocument/2006/customXml" ds:itemID="{AEADEBB2-680C-473B-B4EC-FE5289073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TC04</dc:creator>
  <cp:keywords/>
  <dc:description/>
  <cp:lastModifiedBy>Tuyen Hua</cp:lastModifiedBy>
  <cp:revision>2</cp:revision>
  <cp:lastPrinted>2023-03-07T00:36:00Z</cp:lastPrinted>
  <dcterms:created xsi:type="dcterms:W3CDTF">2023-03-14T01:45:00Z</dcterms:created>
  <dcterms:modified xsi:type="dcterms:W3CDTF">2023-03-14T01:45:00Z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1ea45656-f625-45e8-a83a-35a472cd834a</vt:lpwstr>
  </property>
</Properties>
</file>